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811"/>
        <w:gridCol w:w="3792"/>
      </w:tblGrid>
      <w:tr w:rsidR="007129E4" w:rsidTr="007129E4">
        <w:trPr>
          <w:trHeight w:val="2400"/>
        </w:trPr>
        <w:tc>
          <w:tcPr>
            <w:tcW w:w="4957" w:type="dxa"/>
          </w:tcPr>
          <w:p w:rsidR="007129E4" w:rsidRPr="00BE54FD" w:rsidRDefault="007129E4" w:rsidP="007129E4">
            <w:pPr>
              <w:widowControl w:val="0"/>
              <w:autoSpaceDE w:val="0"/>
              <w:autoSpaceDN w:val="0"/>
              <w:ind w:right="22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129E4" w:rsidRPr="00BE54FD" w:rsidRDefault="007129E4" w:rsidP="007129E4">
            <w:pPr>
              <w:widowControl w:val="0"/>
              <w:autoSpaceDE w:val="0"/>
              <w:autoSpaceDN w:val="0"/>
              <w:ind w:right="22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9E4" w:rsidRPr="00BE54FD" w:rsidRDefault="007129E4" w:rsidP="007129E4">
            <w:pPr>
              <w:widowControl w:val="0"/>
              <w:tabs>
                <w:tab w:val="left" w:pos="10206"/>
              </w:tabs>
              <w:autoSpaceDE w:val="0"/>
              <w:autoSpaceDN w:val="0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129E4" w:rsidRPr="00BE54FD" w:rsidRDefault="007129E4" w:rsidP="007129E4">
            <w:pPr>
              <w:widowControl w:val="0"/>
              <w:autoSpaceDE w:val="0"/>
              <w:autoSpaceDN w:val="0"/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9E4" w:rsidRPr="00BE54FD" w:rsidRDefault="007129E4" w:rsidP="007129E4">
            <w:pPr>
              <w:widowControl w:val="0"/>
              <w:autoSpaceDE w:val="0"/>
              <w:autoSpaceDN w:val="0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</w:t>
            </w:r>
            <w:proofErr w:type="spellStart"/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>С.А.Галатов</w:t>
            </w:r>
            <w:proofErr w:type="spellEnd"/>
          </w:p>
          <w:p w:rsidR="007129E4" w:rsidRPr="00A218A3" w:rsidRDefault="007129E4" w:rsidP="007129E4">
            <w:pPr>
              <w:widowControl w:val="0"/>
              <w:autoSpaceDE w:val="0"/>
              <w:autoSpaceDN w:val="0"/>
              <w:spacing w:line="225" w:lineRule="exact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BE54F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  <w:p w:rsidR="007129E4" w:rsidRPr="00BE54FD" w:rsidRDefault="007129E4" w:rsidP="007129E4">
            <w:pPr>
              <w:widowControl w:val="0"/>
              <w:autoSpaceDE w:val="0"/>
              <w:autoSpaceDN w:val="0"/>
              <w:spacing w:line="225" w:lineRule="exact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9E4" w:rsidRPr="00BE54FD" w:rsidRDefault="007129E4" w:rsidP="007129E4">
            <w:pPr>
              <w:widowControl w:val="0"/>
              <w:autoSpaceDE w:val="0"/>
              <w:autoSpaceDN w:val="0"/>
              <w:spacing w:line="225" w:lineRule="exact"/>
              <w:ind w:right="-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93533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BE54FD">
              <w:rPr>
                <w:rFonts w:ascii="Times New Roman" w:eastAsia="Times New Roman" w:hAnsi="Times New Roman" w:cs="Times New Roman"/>
                <w:sz w:val="28"/>
                <w:szCs w:val="28"/>
              </w:rPr>
              <w:t>.03.2023г.</w:t>
            </w:r>
          </w:p>
          <w:p w:rsidR="007129E4" w:rsidRDefault="007129E4" w:rsidP="007129E4">
            <w:pPr>
              <w:widowControl w:val="0"/>
              <w:autoSpaceDE w:val="0"/>
              <w:autoSpaceDN w:val="0"/>
              <w:spacing w:line="225" w:lineRule="exact"/>
              <w:ind w:left="11057" w:right="-31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29E4" w:rsidRDefault="007129E4" w:rsidP="0071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129E4" w:rsidRDefault="007129E4" w:rsidP="0071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129E4" w:rsidRDefault="007129E4" w:rsidP="0071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17B4">
              <w:rPr>
                <w:rFonts w:ascii="Times New Roman" w:hAnsi="Times New Roman" w:cs="Times New Roman"/>
                <w:sz w:val="24"/>
                <w:szCs w:val="24"/>
              </w:rPr>
              <w:t>Уярского</w:t>
            </w:r>
            <w:proofErr w:type="spellEnd"/>
            <w:r w:rsidRPr="0098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3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533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7129E4" w:rsidRDefault="007129E4" w:rsidP="0071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9E4" w:rsidRDefault="007129E4" w:rsidP="007129E4">
      <w:pPr>
        <w:widowControl w:val="0"/>
        <w:autoSpaceDE w:val="0"/>
        <w:autoSpaceDN w:val="0"/>
        <w:spacing w:after="0" w:line="225" w:lineRule="exact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129E4" w:rsidRPr="00BE54FD" w:rsidRDefault="007129E4" w:rsidP="007129E4">
      <w:pPr>
        <w:widowControl w:val="0"/>
        <w:autoSpaceDE w:val="0"/>
        <w:autoSpaceDN w:val="0"/>
        <w:spacing w:after="0" w:line="225" w:lineRule="exact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9E4" w:rsidRDefault="007129E4" w:rsidP="0071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устранению недостатков, выявленных в ходе независимой оценки качества условий</w:t>
      </w:r>
    </w:p>
    <w:p w:rsidR="007129E4" w:rsidRDefault="007129E4" w:rsidP="0071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образовательной деятельности </w:t>
      </w:r>
    </w:p>
    <w:p w:rsidR="007129E4" w:rsidRDefault="007129E4" w:rsidP="0071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9E4" w:rsidRDefault="007129E4" w:rsidP="0071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4A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129E4" w:rsidRPr="004244AF" w:rsidRDefault="007129E4" w:rsidP="0071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4A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Сушиновская</w:t>
      </w:r>
      <w:proofErr w:type="spellEnd"/>
      <w:r w:rsidRPr="004244A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129E4" w:rsidRPr="004244AF" w:rsidRDefault="007129E4" w:rsidP="00712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4AF">
        <w:rPr>
          <w:rFonts w:ascii="Times New Roman" w:eastAsia="Times New Roman" w:hAnsi="Times New Roman" w:cs="Times New Roman"/>
          <w:b/>
          <w:sz w:val="28"/>
          <w:szCs w:val="28"/>
        </w:rPr>
        <w:t>на 2023 год</w:t>
      </w:r>
    </w:p>
    <w:p w:rsidR="007129E4" w:rsidRDefault="007129E4" w:rsidP="00BE54FD">
      <w:pPr>
        <w:widowControl w:val="0"/>
        <w:autoSpaceDE w:val="0"/>
        <w:autoSpaceDN w:val="0"/>
        <w:spacing w:after="0" w:line="225" w:lineRule="exact"/>
        <w:ind w:right="-31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3"/>
        <w:tblW w:w="150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827"/>
        <w:gridCol w:w="3402"/>
        <w:gridCol w:w="1701"/>
        <w:gridCol w:w="1843"/>
        <w:gridCol w:w="1843"/>
        <w:gridCol w:w="1701"/>
      </w:tblGrid>
      <w:tr w:rsidR="00530A66" w:rsidRPr="007E0246" w:rsidTr="004B2239">
        <w:trPr>
          <w:trHeight w:val="253"/>
        </w:trPr>
        <w:tc>
          <w:tcPr>
            <w:tcW w:w="733" w:type="dxa"/>
            <w:vMerge w:val="restart"/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530A66" w:rsidRPr="007E0246" w:rsidRDefault="00530A66" w:rsidP="007E0246">
            <w:pPr>
              <w:spacing w:line="231" w:lineRule="exact"/>
              <w:ind w:left="162" w:righ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27" w:type="dxa"/>
            <w:vMerge w:val="restart"/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4" w:lineRule="exact"/>
              <w:ind w:left="285" w:right="2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Недостатки,</w:t>
            </w:r>
          </w:p>
          <w:p w:rsidR="00530A66" w:rsidRPr="007E0246" w:rsidRDefault="00530A66" w:rsidP="007E0246">
            <w:pPr>
              <w:spacing w:line="231" w:lineRule="exact"/>
              <w:ind w:left="286" w:right="2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выявленные в</w:t>
            </w:r>
            <w:r w:rsidRPr="007E024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х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оде</w:t>
            </w:r>
            <w:r w:rsidRPr="007E024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н</w:t>
            </w:r>
            <w:r w:rsidRPr="007E024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е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зав</w:t>
            </w:r>
            <w:r w:rsidRPr="007E024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и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си</w:t>
            </w:r>
            <w:r w:rsidRPr="007E024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м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ой оценки качества</w:t>
            </w:r>
            <w:r w:rsidRPr="007E024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условий оказ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ния услуг организацией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4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Наименование мероприятия</w:t>
            </w:r>
          </w:p>
          <w:p w:rsidR="00530A66" w:rsidRPr="007E0246" w:rsidRDefault="00530A66" w:rsidP="007E0246">
            <w:pPr>
              <w:spacing w:line="231" w:lineRule="exact"/>
              <w:ind w:righ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 устранению недостатков, в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ы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явленных в ходе независимой оценки качества условий оказ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ния услуг организацией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4" w:lineRule="exact"/>
              <w:ind w:left="141" w:right="2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Плановый срок</w:t>
            </w:r>
          </w:p>
          <w:p w:rsidR="007E0246" w:rsidRDefault="00530A66" w:rsidP="007E0246">
            <w:pPr>
              <w:spacing w:line="231" w:lineRule="exact"/>
              <w:ind w:left="141"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реализации </w:t>
            </w:r>
          </w:p>
          <w:p w:rsidR="00530A66" w:rsidRPr="007E0246" w:rsidRDefault="00530A66" w:rsidP="007E0246">
            <w:pPr>
              <w:spacing w:line="231" w:lineRule="exact"/>
              <w:ind w:left="141"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4" w:lineRule="exact"/>
              <w:ind w:left="180" w:right="1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Ответстве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ный</w:t>
            </w:r>
          </w:p>
          <w:p w:rsidR="00530A66" w:rsidRPr="007E0246" w:rsidRDefault="00530A66" w:rsidP="007E0246">
            <w:pPr>
              <w:spacing w:line="231" w:lineRule="exact"/>
              <w:ind w:left="180" w:right="1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исполнитель</w:t>
            </w:r>
          </w:p>
          <w:p w:rsidR="00530A66" w:rsidRPr="007E0246" w:rsidRDefault="00530A66" w:rsidP="007E0246">
            <w:pPr>
              <w:spacing w:line="231" w:lineRule="exact"/>
              <w:ind w:left="141" w:right="1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(с указанием фамилии, им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ни, отчества и должности)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4" w:lineRule="exact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Сведения о ходе реализации мер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приятия</w:t>
            </w:r>
          </w:p>
        </w:tc>
      </w:tr>
      <w:tr w:rsidR="00530A66" w:rsidRPr="007E0246" w:rsidTr="004B2239">
        <w:trPr>
          <w:trHeight w:val="250"/>
        </w:trPr>
        <w:tc>
          <w:tcPr>
            <w:tcW w:w="733" w:type="dxa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1" w:lineRule="exact"/>
              <w:ind w:left="162" w:righ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1" w:lineRule="exact"/>
              <w:ind w:left="286" w:right="2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1" w:lineRule="exact"/>
              <w:ind w:righ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1" w:lineRule="exact"/>
              <w:ind w:left="226"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1" w:lineRule="exact"/>
              <w:ind w:left="180" w:right="1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7E0246">
            <w:pPr>
              <w:spacing w:line="231" w:lineRule="exact"/>
              <w:ind w:left="125" w:righ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Реализованные меры по устр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нению выя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ленных нед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0246" w:rsidRDefault="00530A66" w:rsidP="007E0246">
            <w:pPr>
              <w:spacing w:line="231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Фактический срок </w:t>
            </w:r>
          </w:p>
          <w:p w:rsidR="00530A66" w:rsidRPr="007E0246" w:rsidRDefault="00530A66" w:rsidP="007E0246">
            <w:pPr>
              <w:spacing w:line="231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реализации</w:t>
            </w:r>
          </w:p>
        </w:tc>
      </w:tr>
      <w:tr w:rsidR="00530A66" w:rsidRPr="007E0246" w:rsidTr="004B2239">
        <w:trPr>
          <w:trHeight w:val="251"/>
        </w:trPr>
        <w:tc>
          <w:tcPr>
            <w:tcW w:w="15050" w:type="dxa"/>
            <w:gridSpan w:val="7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530A66" w:rsidRPr="007E0246" w:rsidRDefault="00530A66" w:rsidP="00530A66">
            <w:pPr>
              <w:spacing w:line="232" w:lineRule="exact"/>
              <w:ind w:left="49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I. Открытость и доступность информации об организации</w:t>
            </w:r>
          </w:p>
        </w:tc>
      </w:tr>
      <w:tr w:rsidR="003D5E76" w:rsidRPr="007E0246" w:rsidTr="004B2239">
        <w:trPr>
          <w:trHeight w:val="253"/>
        </w:trPr>
        <w:tc>
          <w:tcPr>
            <w:tcW w:w="733" w:type="dxa"/>
            <w:vMerge w:val="restart"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3D5E76" w:rsidRPr="007E0246" w:rsidRDefault="003D5E76" w:rsidP="00105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5B1893" w:rsidRPr="007E0246" w:rsidRDefault="003D5E76" w:rsidP="005B18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информации о деятельн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 организации образования, размеще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ной на официальном сайте </w:t>
            </w:r>
            <w:r w:rsidR="005B1893"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нормативно-правовым актам</w:t>
            </w:r>
          </w:p>
          <w:p w:rsidR="003D5E76" w:rsidRPr="007E0246" w:rsidRDefault="003D5E76" w:rsidP="001053E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Отсутствует следующая информация: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5B1893" w:rsidRPr="007E0246" w:rsidRDefault="003D5E76" w:rsidP="005B18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наличия полной и акт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альной информации на официальном сайте учреждения </w:t>
            </w:r>
            <w:r w:rsidR="005B1893"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 нормативно-правовыми актами</w:t>
            </w:r>
          </w:p>
          <w:p w:rsidR="003D5E76" w:rsidRPr="007E0246" w:rsidRDefault="003D5E76" w:rsidP="001053E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3D5E76" w:rsidRPr="007E0246" w:rsidRDefault="003D5E76" w:rsidP="007E024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</w:rPr>
              <w:t>01.0</w:t>
            </w:r>
            <w:r w:rsidRPr="007E0246">
              <w:rPr>
                <w:sz w:val="20"/>
                <w:szCs w:val="20"/>
                <w:lang w:val="ru-RU"/>
              </w:rPr>
              <w:t>6</w:t>
            </w:r>
            <w:r w:rsidRPr="007E0246">
              <w:rPr>
                <w:sz w:val="20"/>
                <w:szCs w:val="20"/>
              </w:rPr>
              <w:t>.2023</w:t>
            </w:r>
          </w:p>
          <w:p w:rsidR="003D5E76" w:rsidRPr="007E0246" w:rsidRDefault="003D5E76" w:rsidP="001053E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7E0246" w:rsidRDefault="007E0246" w:rsidP="007E0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Шишмарёва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7E0246" w:rsidRDefault="007E0246" w:rsidP="007E0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Екатерина </w:t>
            </w:r>
          </w:p>
          <w:p w:rsidR="007E0246" w:rsidRDefault="007E0246" w:rsidP="007E0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Константиновна, </w:t>
            </w:r>
          </w:p>
          <w:p w:rsidR="003D5E76" w:rsidRPr="007E0246" w:rsidRDefault="007E0246" w:rsidP="007E0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тора по УВР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3D5E76" w:rsidRPr="007E0246" w:rsidRDefault="00DD2E61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Выполнено 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3D5E76" w:rsidRPr="007E0246" w:rsidRDefault="00DD2E61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25.05.2023</w:t>
            </w:r>
          </w:p>
        </w:tc>
      </w:tr>
      <w:tr w:rsidR="003D5E76" w:rsidRPr="007E0246" w:rsidTr="004B2239">
        <w:trPr>
          <w:trHeight w:val="253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5E76" w:rsidRPr="007E0246" w:rsidTr="004B2239">
        <w:trPr>
          <w:trHeight w:val="253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Информация о наличии и условиях 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предоставления обучающимся стипендий, мер социальной поддержки</w:t>
            </w: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5E76" w:rsidRPr="007E0246" w:rsidTr="004B2239">
        <w:trPr>
          <w:trHeight w:val="253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Информация о наличии общежития, и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терната, в том числе приспособленных для использования инвалидами и лицами с ограниченными возможностями здоровья, количестве жилых помещений в общеж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тии, интернате для иногородних обуча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щихся, формировании платы за прожив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 в общежитии</w:t>
            </w: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5E76" w:rsidRPr="007E0246" w:rsidTr="004B2239">
        <w:trPr>
          <w:trHeight w:val="253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Информация о поступлении финансовых и материальных средств и об их расход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вании по итогам финансового года</w:t>
            </w: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5E76" w:rsidRPr="007E0246" w:rsidTr="004B2239">
        <w:trPr>
          <w:trHeight w:val="253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Информация о количестве вакантных мест для приема профессии, специальн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сти, направлению подготовки (на места, финансируемые за счет бюджетных асси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нований федерального бюджета, бюджетов субъектов Российской Федерации, мес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бюджетов, по договорам об образов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нии за счет средств физических и (или) юридических лиц) (перевода) по каждой образовательной программе</w:t>
            </w: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3D5E76" w:rsidRPr="007E0246" w:rsidRDefault="003D5E76" w:rsidP="001053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53EF" w:rsidRPr="007E0246" w:rsidTr="004B2239">
        <w:trPr>
          <w:trHeight w:val="254"/>
        </w:trPr>
        <w:tc>
          <w:tcPr>
            <w:tcW w:w="15050" w:type="dxa"/>
            <w:gridSpan w:val="7"/>
            <w:tcMar>
              <w:left w:w="57" w:type="dxa"/>
              <w:right w:w="57" w:type="dxa"/>
            </w:tcMar>
          </w:tcPr>
          <w:p w:rsidR="001053EF" w:rsidRPr="007E0246" w:rsidRDefault="001053EF" w:rsidP="001053EF">
            <w:pPr>
              <w:spacing w:line="234" w:lineRule="exact"/>
              <w:ind w:left="5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II. Комфортность условий предоставления услуг</w:t>
            </w:r>
          </w:p>
        </w:tc>
      </w:tr>
      <w:tr w:rsidR="00E87ECD" w:rsidRPr="007E0246" w:rsidTr="004B2239">
        <w:trPr>
          <w:trHeight w:val="251"/>
        </w:trPr>
        <w:tc>
          <w:tcPr>
            <w:tcW w:w="733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E87ECD" w:rsidRPr="007E0246" w:rsidRDefault="00E87ECD" w:rsidP="006B054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В организации имеется комфортные усл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вия для предоставления услуг, но число получателей услуг, удовлетворенных ко</w:t>
            </w:r>
            <w:r w:rsidRPr="007E0246">
              <w:rPr>
                <w:sz w:val="20"/>
                <w:szCs w:val="20"/>
                <w:lang w:val="ru-RU"/>
              </w:rPr>
              <w:t>м</w:t>
            </w:r>
            <w:r w:rsidRPr="007E0246">
              <w:rPr>
                <w:sz w:val="20"/>
                <w:szCs w:val="20"/>
                <w:lang w:val="ru-RU"/>
              </w:rPr>
              <w:t>фортностью предоставления услуг орган</w:t>
            </w:r>
            <w:r w:rsidRPr="007E0246">
              <w:rPr>
                <w:sz w:val="20"/>
                <w:szCs w:val="20"/>
                <w:lang w:val="ru-RU"/>
              </w:rPr>
              <w:t>и</w:t>
            </w:r>
            <w:r w:rsidRPr="007E0246">
              <w:rPr>
                <w:sz w:val="20"/>
                <w:szCs w:val="20"/>
                <w:lang w:val="ru-RU"/>
              </w:rPr>
              <w:t>зацией составляет – 98,</w:t>
            </w:r>
            <w:r w:rsidR="006B0544">
              <w:rPr>
                <w:sz w:val="20"/>
                <w:szCs w:val="20"/>
                <w:lang w:val="ru-RU"/>
              </w:rPr>
              <w:t>31</w:t>
            </w:r>
            <w:r w:rsidRPr="007E0246">
              <w:rPr>
                <w:sz w:val="20"/>
                <w:szCs w:val="20"/>
                <w:lang w:val="ru-RU"/>
              </w:rPr>
              <w:t>% от общего числа респондентов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Провести анкетирования среди об</w:t>
            </w:r>
            <w:r w:rsidRPr="007E0246">
              <w:rPr>
                <w:sz w:val="20"/>
                <w:szCs w:val="20"/>
                <w:lang w:val="ru-RU"/>
              </w:rPr>
              <w:t>у</w:t>
            </w:r>
            <w:r w:rsidRPr="007E0246">
              <w:rPr>
                <w:sz w:val="20"/>
                <w:szCs w:val="20"/>
                <w:lang w:val="ru-RU"/>
              </w:rPr>
              <w:t>чающихся, их родителей (законных представителей) с целью выявления недостатков комфортности пред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 xml:space="preserve">ставления услуг. </w:t>
            </w:r>
          </w:p>
          <w:p w:rsidR="00E87ECD" w:rsidRPr="007E0246" w:rsidRDefault="00E87ECD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Разработать мероприятия по устран</w:t>
            </w:r>
            <w:r w:rsidRPr="007E0246">
              <w:rPr>
                <w:sz w:val="20"/>
                <w:szCs w:val="20"/>
                <w:lang w:val="ru-RU"/>
              </w:rPr>
              <w:t>е</w:t>
            </w:r>
            <w:r w:rsidRPr="007E0246">
              <w:rPr>
                <w:sz w:val="20"/>
                <w:szCs w:val="20"/>
                <w:lang w:val="ru-RU"/>
              </w:rPr>
              <w:t>нию выявленных недостатков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01.06.2023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0246" w:rsidRPr="007E0246" w:rsidRDefault="007E0246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Коливашко Лариса Валерьевна,</w:t>
            </w:r>
          </w:p>
          <w:p w:rsidR="00E87ECD" w:rsidRPr="007E0246" w:rsidRDefault="007E0246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87ECD" w:rsidRPr="007E0246" w:rsidRDefault="00DD2E61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Выполнено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87ECD" w:rsidRPr="007E0246" w:rsidRDefault="00DD2E61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15.05.2023</w:t>
            </w:r>
          </w:p>
        </w:tc>
      </w:tr>
      <w:tr w:rsidR="00E87ECD" w:rsidRPr="007E0246" w:rsidTr="004B2239">
        <w:trPr>
          <w:trHeight w:val="254"/>
        </w:trPr>
        <w:tc>
          <w:tcPr>
            <w:tcW w:w="15050" w:type="dxa"/>
            <w:gridSpan w:val="7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spacing w:line="234" w:lineRule="exact"/>
              <w:ind w:left="59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III. Доступность услуг для инвалидов</w:t>
            </w: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 w:val="restart"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</w:rPr>
            </w:pPr>
            <w:r w:rsidRPr="007E024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Территория, прилегающая к организации и ее помещения не оборудованы с учетом условий доступности для инвалидов</w:t>
            </w:r>
          </w:p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Отсутствуют следующие условия:</w:t>
            </w: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Коливашко Лариса Валерьевна,</w:t>
            </w:r>
          </w:p>
          <w:p w:rsidR="006B0544" w:rsidRPr="007E0246" w:rsidRDefault="006B0544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8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Оборудование входных групп пандусами или подъемными платформами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Подготовить локально-сметную д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кументацию на оборудование вхо</w:t>
            </w:r>
            <w:r w:rsidRPr="007E0246">
              <w:rPr>
                <w:sz w:val="20"/>
                <w:szCs w:val="20"/>
                <w:lang w:val="ru-RU"/>
              </w:rPr>
              <w:t>д</w:t>
            </w:r>
            <w:r w:rsidRPr="007E0246">
              <w:rPr>
                <w:sz w:val="20"/>
                <w:szCs w:val="20"/>
                <w:lang w:val="ru-RU"/>
              </w:rPr>
              <w:t>ных групп пандусами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</w:rPr>
            </w:pPr>
            <w:r w:rsidRPr="007E0246">
              <w:rPr>
                <w:sz w:val="20"/>
                <w:szCs w:val="20"/>
              </w:rPr>
              <w:t>01.</w:t>
            </w:r>
            <w:r w:rsidRPr="007E0246">
              <w:rPr>
                <w:sz w:val="20"/>
                <w:szCs w:val="20"/>
                <w:lang w:val="ru-RU"/>
              </w:rPr>
              <w:t>1</w:t>
            </w:r>
            <w:r w:rsidRPr="007E0246">
              <w:rPr>
                <w:sz w:val="20"/>
                <w:szCs w:val="20"/>
              </w:rPr>
              <w:t>1.2023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Наличие выделенных стоянок для авт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транспортных средств инвалидов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 xml:space="preserve">Направить обращение в сельскую администрацию о необходимости оборудования выделенных стоянок </w:t>
            </w:r>
            <w:r w:rsidRPr="007E0246">
              <w:rPr>
                <w:sz w:val="20"/>
                <w:szCs w:val="20"/>
                <w:lang w:val="ru-RU"/>
              </w:rPr>
              <w:lastRenderedPageBreak/>
              <w:t>для автотранспортных средств инв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лидов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</w:rPr>
              <w:lastRenderedPageBreak/>
              <w:t>01.</w:t>
            </w:r>
            <w:r w:rsidRPr="007E0246">
              <w:rPr>
                <w:sz w:val="20"/>
                <w:szCs w:val="20"/>
                <w:lang w:val="ru-RU"/>
              </w:rPr>
              <w:t>06</w:t>
            </w:r>
            <w:r w:rsidRPr="007E0246">
              <w:rPr>
                <w:sz w:val="20"/>
                <w:szCs w:val="20"/>
              </w:rPr>
              <w:t>.202</w:t>
            </w:r>
            <w:r w:rsidRPr="007E024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DD2E61" w:rsidRDefault="00DD2E61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Выполнено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DD2E61" w:rsidRDefault="00DD2E61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10.05.2023</w:t>
            </w: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Наличие адаптированных лифтов, пору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ней, расширенных дверных проемов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Подготовить локально-сметную д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кументацию на установку поручней и на расширение дверных проемов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</w:rPr>
            </w:pPr>
            <w:r w:rsidRPr="007E0246">
              <w:rPr>
                <w:sz w:val="20"/>
                <w:szCs w:val="20"/>
              </w:rPr>
              <w:t>01.11.2023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</w:rPr>
            </w:pPr>
            <w:r w:rsidRPr="007E0246">
              <w:rPr>
                <w:sz w:val="20"/>
                <w:szCs w:val="20"/>
                <w:lang w:val="ru-RU"/>
              </w:rPr>
              <w:t>-</w:t>
            </w:r>
            <w:r w:rsidRPr="007E0246">
              <w:rPr>
                <w:sz w:val="20"/>
                <w:szCs w:val="20"/>
              </w:rPr>
              <w:t xml:space="preserve"> Наличие сменных кресел-колясок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Заключить договор на предоставл</w:t>
            </w:r>
            <w:r w:rsidRPr="007E0246">
              <w:rPr>
                <w:sz w:val="20"/>
                <w:szCs w:val="20"/>
                <w:lang w:val="ru-RU"/>
              </w:rPr>
              <w:t>е</w:t>
            </w:r>
            <w:r w:rsidRPr="007E0246">
              <w:rPr>
                <w:sz w:val="20"/>
                <w:szCs w:val="20"/>
                <w:lang w:val="ru-RU"/>
              </w:rPr>
              <w:t>ние (по мере необходимости) сме</w:t>
            </w:r>
            <w:r w:rsidRPr="007E0246">
              <w:rPr>
                <w:sz w:val="20"/>
                <w:szCs w:val="20"/>
                <w:lang w:val="ru-RU"/>
              </w:rPr>
              <w:t>н</w:t>
            </w:r>
            <w:r w:rsidRPr="007E0246">
              <w:rPr>
                <w:sz w:val="20"/>
                <w:szCs w:val="20"/>
                <w:lang w:val="ru-RU"/>
              </w:rPr>
              <w:t xml:space="preserve">ных кресел-колясок с учреждением социального обслуживания </w:t>
            </w:r>
            <w:proofErr w:type="spellStart"/>
            <w:r w:rsidRPr="007E0246">
              <w:rPr>
                <w:sz w:val="20"/>
                <w:szCs w:val="20"/>
                <w:lang w:val="ru-RU"/>
              </w:rPr>
              <w:t>Уярского</w:t>
            </w:r>
            <w:proofErr w:type="spellEnd"/>
            <w:r w:rsidRPr="007E0246"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01.09.2023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Наличие специально оборудованных с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нитарно-гигиенических помещений в о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ганизации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Подготовить локально-сметную д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кументацию на оборудование сан</w:t>
            </w:r>
            <w:r w:rsidRPr="007E0246">
              <w:rPr>
                <w:sz w:val="20"/>
                <w:szCs w:val="20"/>
                <w:lang w:val="ru-RU"/>
              </w:rPr>
              <w:t>и</w:t>
            </w:r>
            <w:r w:rsidRPr="007E0246">
              <w:rPr>
                <w:sz w:val="20"/>
                <w:szCs w:val="20"/>
                <w:lang w:val="ru-RU"/>
              </w:rPr>
              <w:t>тарно-гигиенических помещений в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</w:rPr>
              <w:t>01.11.202</w:t>
            </w:r>
            <w:r w:rsidRPr="007E024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 w:val="restart"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Отсутствуют ряд условий, позволяющих инвалидам получать образовательные услуги наравне с другими.</w:t>
            </w:r>
          </w:p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Отсутствуют следующие условия:</w:t>
            </w:r>
          </w:p>
        </w:tc>
        <w:tc>
          <w:tcPr>
            <w:tcW w:w="3402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Коливашко Лариса Валерьевна,</w:t>
            </w:r>
          </w:p>
          <w:p w:rsidR="006B0544" w:rsidRPr="007E0246" w:rsidRDefault="006B0544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  <w:p w:rsidR="006B0544" w:rsidRPr="006B0544" w:rsidRDefault="006B0544" w:rsidP="006B054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B0544" w:rsidRPr="006B0544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6B0544" w:rsidRPr="006B0544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Дублирование для инвалидов по слуху и зрению звуковой и зрительной информ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ции</w:t>
            </w:r>
          </w:p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Подготовить локально-сметную д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кументацию на приобретение и уст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новку оборудования для дублиров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ния звуковой и зрительной информ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ции для инвалидов по слуху и зрению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</w:rPr>
              <w:t>01.11.202</w:t>
            </w:r>
            <w:r w:rsidRPr="007E024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Дублирование надписей, знаков и иной текстовой и графической информации зн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ками, выполненными рельефно-точечным шрифтом Брайля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Подготовить локально-сметную д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кументацию на оснащение помещ</w:t>
            </w:r>
            <w:r w:rsidRPr="007E0246">
              <w:rPr>
                <w:sz w:val="20"/>
                <w:szCs w:val="20"/>
                <w:lang w:val="ru-RU"/>
              </w:rPr>
              <w:t>е</w:t>
            </w:r>
            <w:r w:rsidRPr="007E0246">
              <w:rPr>
                <w:sz w:val="20"/>
                <w:szCs w:val="20"/>
                <w:lang w:val="ru-RU"/>
              </w:rPr>
              <w:t>ний организации надписями, знаками и иной текстовой и графической и</w:t>
            </w:r>
            <w:r w:rsidRPr="007E0246">
              <w:rPr>
                <w:sz w:val="20"/>
                <w:szCs w:val="20"/>
                <w:lang w:val="ru-RU"/>
              </w:rPr>
              <w:t>н</w:t>
            </w:r>
            <w:r w:rsidRPr="007E0246">
              <w:rPr>
                <w:sz w:val="20"/>
                <w:szCs w:val="20"/>
                <w:lang w:val="ru-RU"/>
              </w:rPr>
              <w:t>формации знаками, выполненными рельефно-точечным шрифтом Брайля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</w:rPr>
            </w:pPr>
            <w:r w:rsidRPr="007E0246">
              <w:rPr>
                <w:sz w:val="20"/>
                <w:szCs w:val="20"/>
              </w:rPr>
              <w:t>01.</w:t>
            </w:r>
            <w:r w:rsidRPr="007E0246">
              <w:rPr>
                <w:sz w:val="20"/>
                <w:szCs w:val="20"/>
                <w:lang w:val="ru-RU"/>
              </w:rPr>
              <w:t>11</w:t>
            </w:r>
            <w:r w:rsidRPr="007E0246">
              <w:rPr>
                <w:sz w:val="20"/>
                <w:szCs w:val="20"/>
              </w:rPr>
              <w:t>.2023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Возможность предоставления инвалидам по слуху (слуху и зрению) услуг сурдоп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E02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реводчика (тифлосурдопереводчика)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Направить на курсы повышения кв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лификации по направлению «сурд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перевод» логопеда (дефектолога) о</w:t>
            </w:r>
            <w:r w:rsidRPr="007E0246">
              <w:rPr>
                <w:sz w:val="20"/>
                <w:szCs w:val="20"/>
                <w:lang w:val="ru-RU"/>
              </w:rPr>
              <w:t>р</w:t>
            </w:r>
            <w:r w:rsidRPr="007E0246">
              <w:rPr>
                <w:sz w:val="20"/>
                <w:szCs w:val="20"/>
                <w:lang w:val="ru-RU"/>
              </w:rPr>
              <w:t xml:space="preserve">ганизации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01.11.2023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- Помощь, оказываемая работниками орг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низации, прошедшими необходимое об</w:t>
            </w:r>
            <w:r w:rsidRPr="007E0246">
              <w:rPr>
                <w:sz w:val="20"/>
                <w:szCs w:val="20"/>
                <w:lang w:val="ru-RU"/>
              </w:rPr>
              <w:t>у</w:t>
            </w:r>
            <w:r w:rsidRPr="007E0246">
              <w:rPr>
                <w:sz w:val="20"/>
                <w:szCs w:val="20"/>
                <w:lang w:val="ru-RU"/>
              </w:rPr>
              <w:t>чение (инструктирование) (возможность сопровождения работниками организации)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Издать приказ о назначении отве</w:t>
            </w:r>
            <w:r w:rsidRPr="007E0246">
              <w:rPr>
                <w:sz w:val="20"/>
                <w:szCs w:val="20"/>
                <w:lang w:val="ru-RU"/>
              </w:rPr>
              <w:t>т</w:t>
            </w:r>
            <w:r w:rsidRPr="007E0246">
              <w:rPr>
                <w:sz w:val="20"/>
                <w:szCs w:val="20"/>
                <w:lang w:val="ru-RU"/>
              </w:rPr>
              <w:t>ственных лиц за сопровождение и</w:t>
            </w:r>
            <w:r w:rsidRPr="007E0246">
              <w:rPr>
                <w:sz w:val="20"/>
                <w:szCs w:val="20"/>
                <w:lang w:val="ru-RU"/>
              </w:rPr>
              <w:t>н</w:t>
            </w:r>
            <w:r w:rsidRPr="007E0246">
              <w:rPr>
                <w:sz w:val="20"/>
                <w:szCs w:val="20"/>
                <w:lang w:val="ru-RU"/>
              </w:rPr>
              <w:t>валидов на территории и внутри зд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ния учреждения. Разработать и</w:t>
            </w:r>
            <w:r w:rsidRPr="007E0246">
              <w:rPr>
                <w:sz w:val="20"/>
                <w:szCs w:val="20"/>
                <w:lang w:val="ru-RU"/>
              </w:rPr>
              <w:t>н</w:t>
            </w:r>
            <w:r w:rsidRPr="007E0246">
              <w:rPr>
                <w:sz w:val="20"/>
                <w:szCs w:val="20"/>
                <w:lang w:val="ru-RU"/>
              </w:rPr>
              <w:t>струкцию и провести обучение (и</w:t>
            </w:r>
            <w:r w:rsidRPr="007E0246">
              <w:rPr>
                <w:sz w:val="20"/>
                <w:szCs w:val="20"/>
                <w:lang w:val="ru-RU"/>
              </w:rPr>
              <w:t>н</w:t>
            </w:r>
            <w:r w:rsidRPr="007E0246">
              <w:rPr>
                <w:sz w:val="20"/>
                <w:szCs w:val="20"/>
                <w:lang w:val="ru-RU"/>
              </w:rPr>
              <w:t>структаж) ответственных за сопр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>вождение инвалидов лиц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01.09.2023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544" w:rsidRPr="007E0246" w:rsidTr="004B2239">
        <w:trPr>
          <w:trHeight w:val="251"/>
        </w:trPr>
        <w:tc>
          <w:tcPr>
            <w:tcW w:w="73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6B0544" w:rsidRPr="002511F2" w:rsidRDefault="006B0544" w:rsidP="006B0544">
            <w:pPr>
              <w:pStyle w:val="TableParagraph"/>
              <w:jc w:val="left"/>
              <w:rPr>
                <w:sz w:val="20"/>
                <w:szCs w:val="20"/>
                <w:highlight w:val="yellow"/>
                <w:lang w:val="ru-RU"/>
              </w:rPr>
            </w:pPr>
            <w:r w:rsidRPr="002511F2">
              <w:rPr>
                <w:sz w:val="20"/>
                <w:szCs w:val="20"/>
                <w:lang w:val="ru-RU"/>
              </w:rPr>
              <w:t>- Наличие возможности предоставления услуг в дистанционном режиме или на дому</w:t>
            </w:r>
          </w:p>
        </w:tc>
        <w:tc>
          <w:tcPr>
            <w:tcW w:w="3402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6B0544" w:rsidRPr="002511F2" w:rsidRDefault="006B0544" w:rsidP="006B054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2511F2">
              <w:rPr>
                <w:sz w:val="20"/>
                <w:szCs w:val="20"/>
                <w:lang w:val="ru-RU"/>
              </w:rPr>
              <w:t xml:space="preserve">Разработать Положение о порядке предоставления образовательных услуг в дистанционном режиме или </w:t>
            </w:r>
            <w:r w:rsidRPr="002511F2">
              <w:rPr>
                <w:sz w:val="20"/>
                <w:szCs w:val="20"/>
                <w:lang w:val="ru-RU"/>
              </w:rPr>
              <w:lastRenderedPageBreak/>
              <w:t xml:space="preserve">на дому и разместить его на сайте организации </w:t>
            </w:r>
          </w:p>
        </w:tc>
        <w:tc>
          <w:tcPr>
            <w:tcW w:w="170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6B0544" w:rsidRPr="002511F2" w:rsidRDefault="006B0544" w:rsidP="006B054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511F2">
              <w:rPr>
                <w:sz w:val="20"/>
                <w:szCs w:val="20"/>
                <w:lang w:val="ru-RU"/>
              </w:rPr>
              <w:lastRenderedPageBreak/>
              <w:t>01.09.2023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6B0544" w:rsidRPr="007E0246" w:rsidRDefault="006B0544" w:rsidP="006B05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87ECD" w:rsidRPr="007E0246" w:rsidTr="004B2239">
        <w:trPr>
          <w:trHeight w:val="254"/>
        </w:trPr>
        <w:tc>
          <w:tcPr>
            <w:tcW w:w="15050" w:type="dxa"/>
            <w:gridSpan w:val="7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spacing w:line="235" w:lineRule="exact"/>
              <w:ind w:left="47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E87ECD" w:rsidRPr="007E0246" w:rsidTr="004B2239">
        <w:trPr>
          <w:trHeight w:val="254"/>
        </w:trPr>
        <w:tc>
          <w:tcPr>
            <w:tcW w:w="733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E87ECD" w:rsidRPr="007E0246" w:rsidRDefault="00E87ECD" w:rsidP="006B054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Не все получатели образовательных услуг удовлетворены доброжелательностью, вежливостью работников образовательной организации, обеспечивающих первичный контакт и информирование получателя образовательной услуги при непосре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 xml:space="preserve">ственном обращении в образовательную организацию 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</w:rPr>
              <w:t>(</w:t>
            </w:r>
            <w:r w:rsidR="006B0544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2,71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</w:rPr>
              <w:t>% от общего числа опрошенных респондентов)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jc w:val="left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Провести инструктаж работников, обеспечивающих первичный контакт и информирование получателя услуги при непосредственном обращении в организацию, направленный на с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блюдение норм деловой этики</w:t>
            </w:r>
          </w:p>
          <w:p w:rsidR="00E87ECD" w:rsidRPr="007E0246" w:rsidRDefault="00E87ECD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Включить в годовой план работы м</w:t>
            </w:r>
            <w:r w:rsidRPr="007E0246">
              <w:rPr>
                <w:sz w:val="20"/>
                <w:szCs w:val="20"/>
                <w:lang w:val="ru-RU"/>
              </w:rPr>
              <w:t>е</w:t>
            </w:r>
            <w:r w:rsidRPr="007E0246">
              <w:rPr>
                <w:sz w:val="20"/>
                <w:szCs w:val="20"/>
                <w:lang w:val="ru-RU"/>
              </w:rPr>
              <w:t>роприятия, направленные на собл</w:t>
            </w:r>
            <w:r w:rsidRPr="007E0246">
              <w:rPr>
                <w:sz w:val="20"/>
                <w:szCs w:val="20"/>
                <w:lang w:val="ru-RU"/>
              </w:rPr>
              <w:t>ю</w:t>
            </w:r>
            <w:r w:rsidRPr="007E0246">
              <w:rPr>
                <w:sz w:val="20"/>
                <w:szCs w:val="20"/>
                <w:lang w:val="ru-RU"/>
              </w:rPr>
              <w:t>дение сотрудниками образовательной организации Кодекса профессионал</w:t>
            </w:r>
            <w:r w:rsidRPr="007E0246">
              <w:rPr>
                <w:sz w:val="20"/>
                <w:szCs w:val="20"/>
                <w:lang w:val="ru-RU"/>
              </w:rPr>
              <w:t>ь</w:t>
            </w:r>
            <w:r w:rsidRPr="007E0246">
              <w:rPr>
                <w:sz w:val="20"/>
                <w:szCs w:val="20"/>
                <w:lang w:val="ru-RU"/>
              </w:rPr>
              <w:t xml:space="preserve">ной этики педагогических работников (инструктажи, семинары, педсоветы, круглые столы и т.д.) </w:t>
            </w:r>
          </w:p>
          <w:p w:rsidR="00E87ECD" w:rsidRPr="007E0246" w:rsidRDefault="00E87ECD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Разработать инструкцию по правилам общения при дистанционном обр</w:t>
            </w:r>
            <w:r w:rsidRPr="007E0246">
              <w:rPr>
                <w:sz w:val="20"/>
                <w:szCs w:val="20"/>
                <w:lang w:val="ru-RU"/>
              </w:rPr>
              <w:t>а</w:t>
            </w:r>
            <w:r w:rsidRPr="007E0246">
              <w:rPr>
                <w:sz w:val="20"/>
                <w:szCs w:val="20"/>
                <w:lang w:val="ru-RU"/>
              </w:rPr>
              <w:t>щении получателей услуг.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01.09.2023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0246" w:rsidRPr="007E0246" w:rsidRDefault="007E0246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Коливашко Лариса Валерьевна,</w:t>
            </w:r>
          </w:p>
          <w:p w:rsidR="00E87ECD" w:rsidRPr="007E0246" w:rsidRDefault="007E0246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87ECD" w:rsidRPr="007E0246" w:rsidTr="004B2239">
        <w:trPr>
          <w:trHeight w:val="251"/>
        </w:trPr>
        <w:tc>
          <w:tcPr>
            <w:tcW w:w="15050" w:type="dxa"/>
            <w:gridSpan w:val="7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spacing w:line="232" w:lineRule="exact"/>
              <w:ind w:left="53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V. Удовлетворенность условиями оказания услуг</w:t>
            </w:r>
          </w:p>
        </w:tc>
      </w:tr>
      <w:tr w:rsidR="00E87ECD" w:rsidRPr="007E0246" w:rsidTr="004B2239">
        <w:trPr>
          <w:trHeight w:val="254"/>
        </w:trPr>
        <w:tc>
          <w:tcPr>
            <w:tcW w:w="733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E87ECD" w:rsidRPr="007E0246" w:rsidRDefault="00E87ECD" w:rsidP="006B0544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Не все получатели услуг, удовлетворены условиями оказания услуг и готовы рек</w:t>
            </w:r>
            <w:r w:rsidRPr="007E0246">
              <w:rPr>
                <w:sz w:val="20"/>
                <w:szCs w:val="20"/>
                <w:lang w:val="ru-RU"/>
              </w:rPr>
              <w:t>о</w:t>
            </w:r>
            <w:r w:rsidRPr="007E0246">
              <w:rPr>
                <w:sz w:val="20"/>
                <w:szCs w:val="20"/>
                <w:lang w:val="ru-RU"/>
              </w:rPr>
              <w:t xml:space="preserve">мендовать организацию родственникам и знакомым 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(</w:t>
            </w:r>
            <w:r w:rsidR="006B0544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3,73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% от общего числа опр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7E0246">
              <w:rPr>
                <w:color w:val="1A1A1A"/>
                <w:sz w:val="20"/>
                <w:szCs w:val="20"/>
                <w:shd w:val="clear" w:color="auto" w:fill="FFFFFF"/>
                <w:lang w:val="ru-RU"/>
              </w:rPr>
              <w:t>шенных респондентов)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Включить в годовой план работы м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роприятия, направленные на укре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ление имиджа и повышение престижа образовательной организации. Орг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низовать регулярное информацио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ное сопровождение школьных мер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7E0246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приятий в СМИ, официальном сайте и сообществе вКонтакте организации 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0246">
              <w:rPr>
                <w:sz w:val="20"/>
                <w:szCs w:val="20"/>
                <w:lang w:val="ru-RU"/>
              </w:rPr>
              <w:t>01.09.2023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E0246" w:rsidRPr="007E0246" w:rsidRDefault="007E0246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Коливашко Лариса Валерьевна,</w:t>
            </w:r>
          </w:p>
          <w:p w:rsidR="00E87ECD" w:rsidRPr="007E0246" w:rsidRDefault="007E0246" w:rsidP="006B05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024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87ECD" w:rsidRPr="007E0246" w:rsidRDefault="00E87ECD" w:rsidP="00E87E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D080C" w:rsidRDefault="00AD080C" w:rsidP="00AD080C">
      <w:pPr>
        <w:widowControl w:val="0"/>
        <w:autoSpaceDE w:val="0"/>
        <w:autoSpaceDN w:val="0"/>
        <w:spacing w:after="0" w:line="225" w:lineRule="exact"/>
        <w:ind w:right="-31"/>
        <w:rPr>
          <w:rFonts w:ascii="Times New Roman" w:eastAsia="Times New Roman" w:hAnsi="Times New Roman" w:cs="Times New Roman"/>
        </w:rPr>
      </w:pPr>
    </w:p>
    <w:p w:rsidR="00AD080C" w:rsidRPr="00AD080C" w:rsidRDefault="00AD080C" w:rsidP="00AD080C">
      <w:pPr>
        <w:rPr>
          <w:rFonts w:ascii="Times New Roman" w:eastAsia="Times New Roman" w:hAnsi="Times New Roman" w:cs="Times New Roman"/>
        </w:rPr>
      </w:pPr>
    </w:p>
    <w:p w:rsidR="00AD080C" w:rsidRPr="00AD080C" w:rsidRDefault="00AD080C" w:rsidP="00AD080C">
      <w:pPr>
        <w:rPr>
          <w:rFonts w:ascii="Times New Roman" w:eastAsia="Times New Roman" w:hAnsi="Times New Roman" w:cs="Times New Roman"/>
        </w:rPr>
      </w:pPr>
    </w:p>
    <w:p w:rsidR="00AD080C" w:rsidRPr="00AD080C" w:rsidRDefault="00AD080C" w:rsidP="00AD080C">
      <w:pPr>
        <w:rPr>
          <w:rFonts w:ascii="Times New Roman" w:eastAsia="Times New Roman" w:hAnsi="Times New Roman" w:cs="Times New Roman"/>
        </w:rPr>
      </w:pPr>
    </w:p>
    <w:p w:rsidR="00AD080C" w:rsidRDefault="00AD080C" w:rsidP="00AD080C">
      <w:pPr>
        <w:rPr>
          <w:rFonts w:ascii="Times New Roman" w:eastAsia="Times New Roman" w:hAnsi="Times New Roman" w:cs="Times New Roman"/>
        </w:rPr>
      </w:pPr>
    </w:p>
    <w:p w:rsidR="007129E4" w:rsidRDefault="00AD080C" w:rsidP="00AD080C">
      <w:pPr>
        <w:tabs>
          <w:tab w:val="left" w:pos="802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7129E4" w:rsidSect="00AD080C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455"/>
    <w:multiLevelType w:val="hybridMultilevel"/>
    <w:tmpl w:val="DC7881A0"/>
    <w:lvl w:ilvl="0" w:tplc="0088C49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A6"/>
    <w:rsid w:val="0000346D"/>
    <w:rsid w:val="0003160C"/>
    <w:rsid w:val="00057D5A"/>
    <w:rsid w:val="0007070C"/>
    <w:rsid w:val="00085753"/>
    <w:rsid w:val="0009058A"/>
    <w:rsid w:val="000D682D"/>
    <w:rsid w:val="000F5426"/>
    <w:rsid w:val="001053EF"/>
    <w:rsid w:val="0014085F"/>
    <w:rsid w:val="00147072"/>
    <w:rsid w:val="00174C39"/>
    <w:rsid w:val="001D57FF"/>
    <w:rsid w:val="001E6B4E"/>
    <w:rsid w:val="002375BD"/>
    <w:rsid w:val="002511F2"/>
    <w:rsid w:val="00295B94"/>
    <w:rsid w:val="002B7C7E"/>
    <w:rsid w:val="002C36DD"/>
    <w:rsid w:val="003014D7"/>
    <w:rsid w:val="0031143A"/>
    <w:rsid w:val="003125F4"/>
    <w:rsid w:val="003151CB"/>
    <w:rsid w:val="003539BA"/>
    <w:rsid w:val="00395B80"/>
    <w:rsid w:val="003D5E76"/>
    <w:rsid w:val="003D758D"/>
    <w:rsid w:val="003F1D60"/>
    <w:rsid w:val="0041013D"/>
    <w:rsid w:val="004244AF"/>
    <w:rsid w:val="00461964"/>
    <w:rsid w:val="00481C1C"/>
    <w:rsid w:val="00497D1F"/>
    <w:rsid w:val="004A6D2E"/>
    <w:rsid w:val="004B2239"/>
    <w:rsid w:val="004B4F7A"/>
    <w:rsid w:val="004C10E0"/>
    <w:rsid w:val="00505D39"/>
    <w:rsid w:val="00530A66"/>
    <w:rsid w:val="00560D4B"/>
    <w:rsid w:val="00561253"/>
    <w:rsid w:val="0056536B"/>
    <w:rsid w:val="005A4BBF"/>
    <w:rsid w:val="005B1893"/>
    <w:rsid w:val="005B18F0"/>
    <w:rsid w:val="005B64DA"/>
    <w:rsid w:val="005D64F9"/>
    <w:rsid w:val="005E373B"/>
    <w:rsid w:val="005F5CA6"/>
    <w:rsid w:val="00646BB0"/>
    <w:rsid w:val="00692EC1"/>
    <w:rsid w:val="006B0544"/>
    <w:rsid w:val="006E1022"/>
    <w:rsid w:val="00710CF3"/>
    <w:rsid w:val="007129E4"/>
    <w:rsid w:val="007365FB"/>
    <w:rsid w:val="007450DA"/>
    <w:rsid w:val="007840CE"/>
    <w:rsid w:val="00791757"/>
    <w:rsid w:val="00792076"/>
    <w:rsid w:val="007A726F"/>
    <w:rsid w:val="007C5F54"/>
    <w:rsid w:val="007D3170"/>
    <w:rsid w:val="007E0246"/>
    <w:rsid w:val="008220B5"/>
    <w:rsid w:val="008241A6"/>
    <w:rsid w:val="00846440"/>
    <w:rsid w:val="00860BE5"/>
    <w:rsid w:val="00891558"/>
    <w:rsid w:val="0093533C"/>
    <w:rsid w:val="00962D85"/>
    <w:rsid w:val="009B5DAC"/>
    <w:rsid w:val="009D2EDA"/>
    <w:rsid w:val="009E211D"/>
    <w:rsid w:val="00A038A9"/>
    <w:rsid w:val="00A0458D"/>
    <w:rsid w:val="00A10A86"/>
    <w:rsid w:val="00A218A3"/>
    <w:rsid w:val="00A2317B"/>
    <w:rsid w:val="00A24E21"/>
    <w:rsid w:val="00A4023F"/>
    <w:rsid w:val="00A55469"/>
    <w:rsid w:val="00A81513"/>
    <w:rsid w:val="00A973A9"/>
    <w:rsid w:val="00AA4CD9"/>
    <w:rsid w:val="00AB1B00"/>
    <w:rsid w:val="00AD080C"/>
    <w:rsid w:val="00AF4E2B"/>
    <w:rsid w:val="00B03ACB"/>
    <w:rsid w:val="00B311E7"/>
    <w:rsid w:val="00B33B12"/>
    <w:rsid w:val="00B4575A"/>
    <w:rsid w:val="00B54BEF"/>
    <w:rsid w:val="00B601FA"/>
    <w:rsid w:val="00B7267E"/>
    <w:rsid w:val="00BE54FD"/>
    <w:rsid w:val="00C41E53"/>
    <w:rsid w:val="00C44A2B"/>
    <w:rsid w:val="00C704B6"/>
    <w:rsid w:val="00C80D26"/>
    <w:rsid w:val="00CA458A"/>
    <w:rsid w:val="00CA574F"/>
    <w:rsid w:val="00CB2140"/>
    <w:rsid w:val="00CF1060"/>
    <w:rsid w:val="00D33898"/>
    <w:rsid w:val="00D4452A"/>
    <w:rsid w:val="00D46A1C"/>
    <w:rsid w:val="00D471B8"/>
    <w:rsid w:val="00D63076"/>
    <w:rsid w:val="00D83E21"/>
    <w:rsid w:val="00DA3E61"/>
    <w:rsid w:val="00DB780E"/>
    <w:rsid w:val="00DD2E61"/>
    <w:rsid w:val="00DF2BF8"/>
    <w:rsid w:val="00E22530"/>
    <w:rsid w:val="00E66BBC"/>
    <w:rsid w:val="00E70C89"/>
    <w:rsid w:val="00E8522E"/>
    <w:rsid w:val="00E87ECD"/>
    <w:rsid w:val="00EF3E9C"/>
    <w:rsid w:val="00F00D0A"/>
    <w:rsid w:val="00F23BDB"/>
    <w:rsid w:val="00F23F51"/>
    <w:rsid w:val="00F47F3D"/>
    <w:rsid w:val="00F60B84"/>
    <w:rsid w:val="00F8176C"/>
    <w:rsid w:val="00F81C1F"/>
    <w:rsid w:val="00F9055A"/>
    <w:rsid w:val="00FC26D2"/>
    <w:rsid w:val="00FC7E5C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6"/>
  </w:style>
  <w:style w:type="paragraph" w:styleId="1">
    <w:name w:val="heading 1"/>
    <w:basedOn w:val="a"/>
    <w:next w:val="a"/>
    <w:link w:val="10"/>
    <w:uiPriority w:val="9"/>
    <w:qFormat/>
    <w:rsid w:val="009E2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24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CB2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5D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A2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E54F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E54F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unhideWhenUsed/>
    <w:qFormat/>
    <w:rsid w:val="007A7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26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4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0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6"/>
  </w:style>
  <w:style w:type="paragraph" w:styleId="1">
    <w:name w:val="heading 1"/>
    <w:basedOn w:val="a"/>
    <w:next w:val="a"/>
    <w:link w:val="10"/>
    <w:uiPriority w:val="9"/>
    <w:qFormat/>
    <w:rsid w:val="009E2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24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CB2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5D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A2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E54F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E54F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unhideWhenUsed/>
    <w:qFormat/>
    <w:rsid w:val="007A7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26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unhideWhenUsed/>
    <w:qFormat/>
    <w:rsid w:val="0053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4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0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Тишкова</dc:creator>
  <cp:lastModifiedBy>Сушиновская школа</cp:lastModifiedBy>
  <cp:revision>41</cp:revision>
  <cp:lastPrinted>2022-12-16T06:05:00Z</cp:lastPrinted>
  <dcterms:created xsi:type="dcterms:W3CDTF">2023-03-16T03:55:00Z</dcterms:created>
  <dcterms:modified xsi:type="dcterms:W3CDTF">2023-07-10T06:42:00Z</dcterms:modified>
</cp:coreProperties>
</file>